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18" w:rsidRPr="005C166D" w:rsidRDefault="00BD6A18" w:rsidP="00BD6A18">
      <w:pPr>
        <w:tabs>
          <w:tab w:val="left" w:pos="3206"/>
        </w:tabs>
        <w:spacing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Evaluation of a Classroom-Based Psychosocial Intervention in Conflict-Affected Nepal: A Cluster Randomized Controlled Trial</w:t>
      </w:r>
    </w:p>
    <w:p w:rsidR="00BD6A18" w:rsidRPr="005C166D" w:rsidRDefault="00BD6A18" w:rsidP="00BD6A18">
      <w:pPr>
        <w:autoSpaceDE w:val="0"/>
        <w:autoSpaceDN w:val="0"/>
        <w:adjustRightInd w:val="0"/>
        <w:spacing w:after="0" w:line="360" w:lineRule="auto"/>
        <w:jc w:val="both"/>
        <w:rPr>
          <w:rFonts w:cs="AdvBOOKO-B"/>
          <w:sz w:val="24"/>
          <w:szCs w:val="24"/>
          <w:lang w:bidi="ne-NP"/>
        </w:rPr>
      </w:pPr>
      <w:r w:rsidRPr="005C166D">
        <w:rPr>
          <w:rFonts w:cs="AdvBOOKO-B"/>
          <w:sz w:val="24"/>
          <w:szCs w:val="24"/>
          <w:lang w:bidi="ne-NP"/>
        </w:rPr>
        <w:t>Jordans MJD</w:t>
      </w:r>
      <w:r w:rsidRPr="005C166D">
        <w:rPr>
          <w:rFonts w:cs="AdvBOOKO-B"/>
          <w:sz w:val="24"/>
          <w:szCs w:val="24"/>
          <w:vertAlign w:val="superscript"/>
          <w:lang w:bidi="ne-NP"/>
        </w:rPr>
        <w:t>1,2</w:t>
      </w:r>
      <w:r w:rsidRPr="005C166D">
        <w:rPr>
          <w:rFonts w:cs="AdvBOOKO-B"/>
          <w:sz w:val="24"/>
          <w:szCs w:val="24"/>
          <w:lang w:bidi="ne-NP"/>
        </w:rPr>
        <w:t>, Komproe IH</w:t>
      </w:r>
      <w:r w:rsidRPr="005C166D">
        <w:rPr>
          <w:rFonts w:cs="AdvBOOKO-B"/>
          <w:sz w:val="24"/>
          <w:szCs w:val="24"/>
          <w:vertAlign w:val="superscript"/>
          <w:lang w:bidi="ne-NP"/>
        </w:rPr>
        <w:t>1,6</w:t>
      </w:r>
      <w:r w:rsidRPr="005C166D">
        <w:rPr>
          <w:rFonts w:cs="AdvBOOKO-B"/>
          <w:sz w:val="24"/>
          <w:szCs w:val="24"/>
          <w:lang w:bidi="ne-NP"/>
        </w:rPr>
        <w:t>,  Tol WA</w:t>
      </w:r>
      <w:r w:rsidRPr="005C166D">
        <w:rPr>
          <w:rFonts w:cs="AdvBOOKO-B"/>
          <w:sz w:val="24"/>
          <w:szCs w:val="24"/>
          <w:vertAlign w:val="superscript"/>
          <w:lang w:bidi="ne-NP"/>
        </w:rPr>
        <w:t>1</w:t>
      </w:r>
      <w:r w:rsidRPr="005C166D">
        <w:rPr>
          <w:rFonts w:cs="AdvBOOKO-B"/>
          <w:sz w:val="24"/>
          <w:szCs w:val="24"/>
          <w:lang w:bidi="ne-NP"/>
        </w:rPr>
        <w:t>, Kohrt BA</w:t>
      </w:r>
      <w:r w:rsidRPr="005C166D">
        <w:rPr>
          <w:rFonts w:cs="AdvBOOKO-B"/>
          <w:sz w:val="24"/>
          <w:szCs w:val="24"/>
          <w:vertAlign w:val="superscript"/>
          <w:lang w:bidi="ne-NP"/>
        </w:rPr>
        <w:t>4,5</w:t>
      </w:r>
      <w:r w:rsidRPr="005C166D">
        <w:rPr>
          <w:rFonts w:cs="AdvBOOKO-B"/>
          <w:sz w:val="24"/>
          <w:szCs w:val="24"/>
          <w:lang w:bidi="ne-NP"/>
        </w:rPr>
        <w:t>,  Luitel NP</w:t>
      </w:r>
      <w:r w:rsidRPr="005C166D">
        <w:rPr>
          <w:rFonts w:cs="AdvBOOKO-B"/>
          <w:sz w:val="24"/>
          <w:szCs w:val="24"/>
          <w:vertAlign w:val="superscript"/>
          <w:lang w:bidi="ne-NP"/>
        </w:rPr>
        <w:t>5</w:t>
      </w:r>
      <w:r w:rsidRPr="005C166D">
        <w:rPr>
          <w:rFonts w:cs="AdvBOOKO-B"/>
          <w:sz w:val="24"/>
          <w:szCs w:val="24"/>
          <w:lang w:bidi="ne-NP"/>
        </w:rPr>
        <w:t>,  Macy RD</w:t>
      </w:r>
      <w:r w:rsidRPr="005C166D">
        <w:rPr>
          <w:rFonts w:cs="AdvBOOKO-B"/>
          <w:sz w:val="24"/>
          <w:szCs w:val="24"/>
          <w:vertAlign w:val="superscript"/>
          <w:lang w:bidi="ne-NP"/>
        </w:rPr>
        <w:t>7</w:t>
      </w:r>
      <w:r w:rsidRPr="005C166D">
        <w:rPr>
          <w:rFonts w:cs="AdvBOOKO-B"/>
          <w:sz w:val="24"/>
          <w:szCs w:val="24"/>
          <w:lang w:bidi="ne-NP"/>
        </w:rPr>
        <w:t xml:space="preserve">, de Jong J T.V.M </w:t>
      </w:r>
      <w:r w:rsidRPr="005C166D">
        <w:rPr>
          <w:rFonts w:cs="AdvBOOKO-B"/>
          <w:sz w:val="24"/>
          <w:szCs w:val="24"/>
          <w:vertAlign w:val="superscript"/>
          <w:lang w:bidi="ne-NP"/>
        </w:rPr>
        <w:t>2,3</w:t>
      </w:r>
    </w:p>
    <w:p w:rsidR="00BD6A18" w:rsidRPr="005C166D" w:rsidRDefault="00BD6A18" w:rsidP="00BD6A18">
      <w:pPr>
        <w:autoSpaceDE w:val="0"/>
        <w:autoSpaceDN w:val="0"/>
        <w:adjustRightInd w:val="0"/>
        <w:spacing w:after="0" w:line="360" w:lineRule="auto"/>
        <w:jc w:val="both"/>
        <w:rPr>
          <w:rFonts w:cs="AdvBOOKO-R"/>
          <w:sz w:val="24"/>
          <w:szCs w:val="24"/>
          <w:lang w:bidi="ne-NP"/>
        </w:rPr>
      </w:pPr>
      <w:r w:rsidRPr="005C166D">
        <w:rPr>
          <w:rFonts w:cs="AdvBOOKO-R"/>
          <w:sz w:val="24"/>
          <w:szCs w:val="24"/>
          <w:vertAlign w:val="superscript"/>
          <w:lang w:bidi="ne-NP"/>
        </w:rPr>
        <w:t>1</w:t>
      </w:r>
      <w:r w:rsidRPr="005C166D">
        <w:rPr>
          <w:rFonts w:cs="AdvBOOKO-R"/>
          <w:sz w:val="24"/>
          <w:szCs w:val="24"/>
          <w:lang w:bidi="ne-NP"/>
        </w:rPr>
        <w:t xml:space="preserve">HealthNet TPO, Department of Research and Development, Amsterdam, The Netherlands, </w:t>
      </w:r>
      <w:r w:rsidRPr="005C166D">
        <w:rPr>
          <w:rFonts w:cs="AdvBOOKO-R"/>
          <w:sz w:val="24"/>
          <w:szCs w:val="24"/>
          <w:vertAlign w:val="superscript"/>
          <w:lang w:bidi="ne-NP"/>
        </w:rPr>
        <w:t>2</w:t>
      </w:r>
      <w:r w:rsidRPr="005C166D">
        <w:rPr>
          <w:rFonts w:cs="AdvBOOKO-R"/>
          <w:sz w:val="24"/>
          <w:szCs w:val="24"/>
          <w:lang w:bidi="ne-NP"/>
        </w:rPr>
        <w:t xml:space="preserve">VU University Medical Center, Amsterdam, The Netherlands, </w:t>
      </w:r>
      <w:r w:rsidRPr="005C166D">
        <w:rPr>
          <w:rFonts w:cs="AdvBOOKO-R"/>
          <w:sz w:val="24"/>
          <w:szCs w:val="24"/>
          <w:vertAlign w:val="superscript"/>
          <w:lang w:bidi="ne-NP"/>
        </w:rPr>
        <w:t>3</w:t>
      </w:r>
      <w:r w:rsidRPr="005C166D">
        <w:rPr>
          <w:rFonts w:cs="AdvBOOKO-R"/>
          <w:sz w:val="24"/>
          <w:szCs w:val="24"/>
          <w:lang w:bidi="ne-NP"/>
        </w:rPr>
        <w:t xml:space="preserve">Boston University, School of Medicine, USA, </w:t>
      </w:r>
      <w:r w:rsidRPr="005C166D">
        <w:rPr>
          <w:rFonts w:cs="AdvBOOKO-R"/>
          <w:sz w:val="24"/>
          <w:szCs w:val="24"/>
          <w:vertAlign w:val="superscript"/>
          <w:lang w:bidi="ne-NP"/>
        </w:rPr>
        <w:t>4</w:t>
      </w:r>
      <w:r w:rsidRPr="005C166D">
        <w:rPr>
          <w:rFonts w:cs="AdvBOOKO-R"/>
          <w:sz w:val="24"/>
          <w:szCs w:val="24"/>
          <w:lang w:bidi="ne-NP"/>
        </w:rPr>
        <w:t xml:space="preserve">Emory University, Department of Anthropology, Atlanta, USA, </w:t>
      </w:r>
      <w:r w:rsidRPr="005C166D">
        <w:rPr>
          <w:rFonts w:cs="AdvBOOKO-R"/>
          <w:sz w:val="24"/>
          <w:szCs w:val="24"/>
          <w:vertAlign w:val="superscript"/>
          <w:lang w:bidi="ne-NP"/>
        </w:rPr>
        <w:t>5</w:t>
      </w:r>
      <w:r w:rsidRPr="005C166D">
        <w:rPr>
          <w:rFonts w:cs="AdvBOOKO-R"/>
          <w:sz w:val="24"/>
          <w:szCs w:val="24"/>
          <w:lang w:bidi="ne-NP"/>
        </w:rPr>
        <w:t xml:space="preserve">Transcultural Psychosocial Organization Nepal, Kathmandu, Nepal, </w:t>
      </w:r>
      <w:r w:rsidRPr="005C166D">
        <w:rPr>
          <w:rFonts w:cs="AdvBOOKO-R"/>
          <w:sz w:val="24"/>
          <w:szCs w:val="24"/>
          <w:vertAlign w:val="superscript"/>
          <w:lang w:bidi="ne-NP"/>
        </w:rPr>
        <w:t>6</w:t>
      </w:r>
      <w:r w:rsidRPr="005C166D">
        <w:rPr>
          <w:rFonts w:cs="AdvBOOKO-R"/>
          <w:sz w:val="24"/>
          <w:szCs w:val="24"/>
          <w:lang w:bidi="ne-NP"/>
        </w:rPr>
        <w:t xml:space="preserve">Faculty of Social and Behavioural Sciences, Utrecht University, The Netherlands, </w:t>
      </w:r>
      <w:r w:rsidRPr="005C166D">
        <w:rPr>
          <w:rFonts w:cs="AdvBOOKO-R"/>
          <w:sz w:val="24"/>
          <w:szCs w:val="24"/>
          <w:vertAlign w:val="superscript"/>
          <w:lang w:bidi="ne-NP"/>
        </w:rPr>
        <w:t>7</w:t>
      </w:r>
      <w:r w:rsidRPr="005C166D">
        <w:rPr>
          <w:rFonts w:cs="AdvBOOKO-R"/>
          <w:sz w:val="24"/>
          <w:szCs w:val="24"/>
          <w:lang w:bidi="ne-NP"/>
        </w:rPr>
        <w:t>Center for Trauma Psychology, Harvard University, School of Medicine, USA.</w:t>
      </w:r>
    </w:p>
    <w:p w:rsidR="0073337D" w:rsidRDefault="0073337D" w:rsidP="00BD6A18">
      <w:pPr>
        <w:tabs>
          <w:tab w:val="left" w:pos="3206"/>
        </w:tabs>
        <w:spacing w:before="240" w:after="0" w:line="360" w:lineRule="auto"/>
        <w:jc w:val="both"/>
        <w:rPr>
          <w:rFonts w:cs="MetaOffc-Norm"/>
          <w:b/>
          <w:bCs/>
          <w:sz w:val="24"/>
          <w:szCs w:val="24"/>
          <w:lang w:bidi="ne-NP"/>
        </w:rPr>
      </w:pPr>
      <w:r>
        <w:rPr>
          <w:rFonts w:cs="MetaOffc-Norm"/>
          <w:b/>
          <w:bCs/>
          <w:sz w:val="24"/>
          <w:szCs w:val="24"/>
          <w:lang w:bidi="ne-NP"/>
        </w:rPr>
        <w:t>Date: 2010</w:t>
      </w:r>
    </w:p>
    <w:p w:rsidR="00BD6A18" w:rsidRPr="005C166D" w:rsidRDefault="00BD6A18" w:rsidP="00BD6A18">
      <w:pPr>
        <w:tabs>
          <w:tab w:val="left" w:pos="3206"/>
        </w:tabs>
        <w:spacing w:before="240" w:after="0" w:line="360" w:lineRule="auto"/>
        <w:jc w:val="both"/>
        <w:rPr>
          <w:rFonts w:cs="MetaOffc-Norm"/>
          <w:b/>
          <w:bCs/>
          <w:sz w:val="24"/>
          <w:szCs w:val="24"/>
          <w:lang w:bidi="ne-NP"/>
        </w:rPr>
      </w:pPr>
      <w:r w:rsidRPr="005C166D">
        <w:rPr>
          <w:rFonts w:cs="MetaOffc-Norm"/>
          <w:b/>
          <w:bCs/>
          <w:sz w:val="24"/>
          <w:szCs w:val="24"/>
          <w:lang w:bidi="ne-NP"/>
        </w:rPr>
        <w:t>Background</w:t>
      </w:r>
    </w:p>
    <w:p w:rsidR="00BD6A18" w:rsidRPr="005C166D" w:rsidRDefault="00BD6A18" w:rsidP="00BD6A18">
      <w:pPr>
        <w:autoSpaceDE w:val="0"/>
        <w:autoSpaceDN w:val="0"/>
        <w:adjustRightInd w:val="0"/>
        <w:spacing w:after="0" w:line="360" w:lineRule="auto"/>
        <w:jc w:val="both"/>
        <w:rPr>
          <w:rFonts w:cs="AdvBOOKO-R"/>
          <w:sz w:val="24"/>
          <w:szCs w:val="24"/>
          <w:lang w:bidi="ne-NP"/>
        </w:rPr>
      </w:pPr>
      <w:r w:rsidRPr="005C166D">
        <w:rPr>
          <w:rFonts w:cs="AdvBOOKO-R"/>
          <w:sz w:val="24"/>
          <w:szCs w:val="24"/>
          <w:lang w:bidi="ne-NP"/>
        </w:rPr>
        <w:t>In situations of ongoing violence, childhood psychosocial and mental health problems require care. However, resources and evidence for adequate interventions are scarce for children in low and middle-income countries. This study evaluated a school-based psychosocial intervention in conflict-affected, rural Nepal.</w:t>
      </w:r>
    </w:p>
    <w:p w:rsidR="00BD6A18" w:rsidRPr="005C166D" w:rsidRDefault="00BD6A18" w:rsidP="00BD6A18">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Methods</w:t>
      </w:r>
    </w:p>
    <w:p w:rsidR="00BD6A18" w:rsidRPr="005C166D" w:rsidRDefault="00BD6A18" w:rsidP="00BD6A18">
      <w:pPr>
        <w:autoSpaceDE w:val="0"/>
        <w:autoSpaceDN w:val="0"/>
        <w:adjustRightInd w:val="0"/>
        <w:spacing w:after="0" w:line="360" w:lineRule="auto"/>
        <w:jc w:val="both"/>
        <w:rPr>
          <w:rFonts w:cs="AdvBOOKO-R"/>
          <w:sz w:val="24"/>
          <w:szCs w:val="24"/>
          <w:lang w:bidi="ne-NP"/>
        </w:rPr>
      </w:pPr>
      <w:r w:rsidRPr="005C166D">
        <w:rPr>
          <w:rFonts w:cs="AdvBOOKO-R"/>
          <w:sz w:val="24"/>
          <w:szCs w:val="24"/>
          <w:lang w:bidi="ne-NP"/>
        </w:rPr>
        <w:t>A cluster randomized controlled trial was used to evaluate changes on a range of indicators, including psychiatric symptoms (depression, anxiety, posttraumatic stress disorder), psychological difficulties, resilience indicators (hope, prosocial behavior) and function impairment. Children (</w:t>
      </w:r>
      <w:r w:rsidRPr="005C166D">
        <w:rPr>
          <w:rFonts w:cs="AdvBOOKO-I"/>
          <w:sz w:val="24"/>
          <w:szCs w:val="24"/>
          <w:lang w:bidi="ne-NP"/>
        </w:rPr>
        <w:t xml:space="preserve">n </w:t>
      </w:r>
      <w:r w:rsidRPr="005C166D">
        <w:rPr>
          <w:rFonts w:cs="AdvBOOKO-R"/>
          <w:sz w:val="24"/>
          <w:szCs w:val="24"/>
          <w:lang w:bidi="ne-NP"/>
        </w:rPr>
        <w:t>= 325) (mean age = 12.7, SD = 1.04, range 11–14 years) with elevated psychosocial distress were allocated to a treatment or waitlist group.</w:t>
      </w:r>
    </w:p>
    <w:p w:rsidR="00BD6A18" w:rsidRPr="005C166D" w:rsidRDefault="00BD6A18" w:rsidP="00BD6A18">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Results</w:t>
      </w:r>
    </w:p>
    <w:p w:rsidR="00BD6A18" w:rsidRPr="005C166D" w:rsidRDefault="00BD6A18" w:rsidP="00BD6A18">
      <w:pPr>
        <w:autoSpaceDE w:val="0"/>
        <w:autoSpaceDN w:val="0"/>
        <w:adjustRightInd w:val="0"/>
        <w:spacing w:after="0" w:line="360" w:lineRule="auto"/>
        <w:jc w:val="both"/>
        <w:rPr>
          <w:rFonts w:cs="AdvBOOKO-R"/>
          <w:sz w:val="24"/>
          <w:szCs w:val="24"/>
          <w:lang w:bidi="ne-NP"/>
        </w:rPr>
      </w:pPr>
      <w:r w:rsidRPr="005C166D">
        <w:rPr>
          <w:rFonts w:cs="AdvBOOKO-R"/>
          <w:sz w:val="24"/>
          <w:szCs w:val="24"/>
          <w:lang w:bidi="ne-NP"/>
        </w:rPr>
        <w:t xml:space="preserve">Comparisons of crude change scores showed significant between-group differences on several outcome indicators, with moderate effect sizes (Cohen </w:t>
      </w:r>
      <w:r w:rsidRPr="005C166D">
        <w:rPr>
          <w:rFonts w:cs="AdvBOOKO-I"/>
          <w:sz w:val="24"/>
          <w:szCs w:val="24"/>
          <w:lang w:bidi="ne-NP"/>
        </w:rPr>
        <w:t xml:space="preserve">d </w:t>
      </w:r>
      <w:r w:rsidRPr="005C166D">
        <w:rPr>
          <w:rFonts w:cs="AdvBOOKO-R"/>
          <w:sz w:val="24"/>
          <w:szCs w:val="24"/>
          <w:lang w:bidi="ne-NP"/>
        </w:rPr>
        <w:t>= .41 to .58). After correcting for nested variance within schools, no evidence for treatment effects was found on any outcome variable. Additional analyses showed gender effects for treatment on prosocial behavior (mean change difference: (2.70; 95% CI, .97 to 4.44), psychological difficulties (</w:t>
      </w:r>
      <w:r w:rsidRPr="005C166D">
        <w:rPr>
          <w:rFonts w:cs="AdvPSSPS-AS"/>
          <w:sz w:val="24"/>
          <w:szCs w:val="24"/>
          <w:lang w:bidi="ne-NP"/>
        </w:rPr>
        <w:t>-</w:t>
      </w:r>
      <w:r w:rsidRPr="005C166D">
        <w:rPr>
          <w:rFonts w:cs="AdvBOOKO-R"/>
          <w:sz w:val="24"/>
          <w:szCs w:val="24"/>
          <w:lang w:bidi="ne-NP"/>
        </w:rPr>
        <w:t xml:space="preserve">2.19; 95% CI, 3.82 to </w:t>
      </w:r>
      <w:r w:rsidRPr="005C166D">
        <w:rPr>
          <w:rFonts w:cs="AdvPSSPS-AS"/>
          <w:sz w:val="24"/>
          <w:szCs w:val="24"/>
          <w:lang w:bidi="ne-NP"/>
        </w:rPr>
        <w:t>-</w:t>
      </w:r>
      <w:r w:rsidRPr="005C166D">
        <w:rPr>
          <w:rFonts w:cs="AdvPSSPS-AS"/>
          <w:sz w:val="24"/>
          <w:szCs w:val="24"/>
          <w:lang w:bidi="ne-NP"/>
        </w:rPr>
        <w:lastRenderedPageBreak/>
        <w:t>0</w:t>
      </w:r>
      <w:r w:rsidRPr="005C166D">
        <w:rPr>
          <w:rFonts w:cs="AdvBOOKO-R"/>
          <w:sz w:val="24"/>
          <w:szCs w:val="24"/>
          <w:lang w:bidi="ne-NP"/>
        </w:rPr>
        <w:t>.56), and aggression (</w:t>
      </w:r>
      <w:r w:rsidRPr="005C166D">
        <w:rPr>
          <w:rFonts w:cs="AdvPSSPS-AS"/>
          <w:sz w:val="24"/>
          <w:szCs w:val="24"/>
          <w:lang w:bidi="ne-NP"/>
        </w:rPr>
        <w:t>-</w:t>
      </w:r>
      <w:r w:rsidRPr="005C166D">
        <w:rPr>
          <w:rFonts w:cs="AdvBOOKO-R"/>
          <w:sz w:val="24"/>
          <w:szCs w:val="24"/>
          <w:lang w:bidi="ne-NP"/>
        </w:rPr>
        <w:t xml:space="preserve">4.42; 95% CI, </w:t>
      </w:r>
      <w:r w:rsidRPr="005C166D">
        <w:rPr>
          <w:rFonts w:cs="AdvPSSPS-AS"/>
          <w:sz w:val="24"/>
          <w:szCs w:val="24"/>
          <w:lang w:bidi="ne-NP"/>
        </w:rPr>
        <w:t>-</w:t>
      </w:r>
      <w:r w:rsidRPr="005C166D">
        <w:rPr>
          <w:rFonts w:cs="AdvBOOKO-R"/>
          <w:sz w:val="24"/>
          <w:szCs w:val="24"/>
          <w:lang w:bidi="ne-NP"/>
        </w:rPr>
        <w:t xml:space="preserve">6.16 to </w:t>
      </w:r>
      <w:r w:rsidRPr="005C166D">
        <w:rPr>
          <w:rFonts w:cs="AdvPSSPS-AS"/>
          <w:sz w:val="24"/>
          <w:szCs w:val="24"/>
          <w:lang w:bidi="ne-NP"/>
        </w:rPr>
        <w:t>-</w:t>
      </w:r>
      <w:r w:rsidRPr="005C166D">
        <w:rPr>
          <w:rFonts w:cs="AdvBOOKO-R"/>
          <w:sz w:val="24"/>
          <w:szCs w:val="24"/>
          <w:lang w:bidi="ne-NP"/>
        </w:rPr>
        <w:t xml:space="preserve">2.67). An age effect for treatment was found for hope (.90; 95% CI, </w:t>
      </w:r>
      <w:r w:rsidRPr="005C166D">
        <w:rPr>
          <w:rFonts w:cs="AdvPSSPS-AS"/>
          <w:sz w:val="24"/>
          <w:szCs w:val="24"/>
          <w:lang w:bidi="ne-NP"/>
        </w:rPr>
        <w:t>-</w:t>
      </w:r>
      <w:r w:rsidRPr="005C166D">
        <w:rPr>
          <w:rFonts w:cs="AdvBOOKO-R"/>
          <w:sz w:val="24"/>
          <w:szCs w:val="24"/>
          <w:lang w:bidi="ne-NP"/>
        </w:rPr>
        <w:t xml:space="preserve">1.54 to </w:t>
      </w:r>
      <w:r w:rsidRPr="005C166D">
        <w:rPr>
          <w:rFonts w:cs="AdvPSSPS-AS"/>
          <w:sz w:val="24"/>
          <w:szCs w:val="24"/>
          <w:lang w:bidi="ne-NP"/>
        </w:rPr>
        <w:t>-0</w:t>
      </w:r>
      <w:r w:rsidRPr="005C166D">
        <w:rPr>
          <w:rFonts w:cs="AdvBOOKO-R"/>
          <w:sz w:val="24"/>
          <w:szCs w:val="24"/>
          <w:lang w:bidi="ne-NP"/>
        </w:rPr>
        <w:t>.26).</w:t>
      </w:r>
    </w:p>
    <w:p w:rsidR="00BD6A18" w:rsidRDefault="00BD6A18" w:rsidP="00BD6A18">
      <w:pPr>
        <w:tabs>
          <w:tab w:val="left" w:pos="3206"/>
        </w:tabs>
        <w:spacing w:after="0" w:line="360" w:lineRule="auto"/>
        <w:jc w:val="both"/>
        <w:rPr>
          <w:rFonts w:cs="MetaOffc-Norm"/>
          <w:b/>
          <w:bCs/>
          <w:sz w:val="24"/>
          <w:szCs w:val="24"/>
          <w:lang w:bidi="ne-NP"/>
        </w:rPr>
      </w:pPr>
    </w:p>
    <w:p w:rsidR="00BD6A18" w:rsidRPr="005C166D" w:rsidRDefault="00BD6A18" w:rsidP="00BD6A18">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Conclusions</w:t>
      </w:r>
    </w:p>
    <w:p w:rsidR="00BD6A18" w:rsidRPr="005C166D" w:rsidRDefault="00BD6A18" w:rsidP="00BD6A18">
      <w:pPr>
        <w:autoSpaceDE w:val="0"/>
        <w:autoSpaceDN w:val="0"/>
        <w:adjustRightInd w:val="0"/>
        <w:spacing w:after="0" w:line="360" w:lineRule="auto"/>
        <w:jc w:val="both"/>
        <w:rPr>
          <w:rFonts w:cs="AdvBOOKO-R"/>
          <w:sz w:val="24"/>
          <w:szCs w:val="24"/>
          <w:lang w:bidi="ne-NP"/>
        </w:rPr>
      </w:pPr>
      <w:r w:rsidRPr="005C166D">
        <w:rPr>
          <w:rFonts w:cs="AdvBOOKO-R"/>
          <w:sz w:val="24"/>
          <w:szCs w:val="24"/>
          <w:lang w:bidi="ne-NP"/>
        </w:rPr>
        <w:t>A school-based psychosocial intervention demonstrated moderate short-term beneficial effects for improving social behavioral and resilience indicators among subgroups of children exposed to armed conflict. The intervention reduced psychological difficulties and aggression among boys, increased prosocial behavior among girls, and increased hope for older children. The intervention did not result in reduction of psychiatric symptoms.</w:t>
      </w:r>
    </w:p>
    <w:p w:rsidR="00403598" w:rsidRDefault="00BD6A18" w:rsidP="00BD6A18">
      <w:r w:rsidRPr="005C166D">
        <w:rPr>
          <w:rFonts w:cs="MetaOffc-Norm"/>
          <w:b/>
          <w:bCs/>
          <w:sz w:val="24"/>
          <w:szCs w:val="24"/>
          <w:lang w:bidi="ne-NP"/>
        </w:rPr>
        <w:t>Keywords:</w:t>
      </w:r>
      <w:r w:rsidRPr="005C166D">
        <w:rPr>
          <w:rFonts w:cs="MetaOffc-Norm"/>
          <w:sz w:val="24"/>
          <w:szCs w:val="24"/>
          <w:lang w:bidi="ne-NP"/>
        </w:rPr>
        <w:t xml:space="preserve"> </w:t>
      </w:r>
      <w:r w:rsidRPr="005C166D">
        <w:rPr>
          <w:rFonts w:cs="AdvBOOKO-R"/>
          <w:sz w:val="24"/>
          <w:szCs w:val="24"/>
          <w:lang w:bidi="ne-NP"/>
        </w:rPr>
        <w:t>children; efficacy; psychosocial; war.</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dvBOOKO-B">
    <w:panose1 w:val="00000000000000000000"/>
    <w:charset w:val="00"/>
    <w:family w:val="roman"/>
    <w:notTrueType/>
    <w:pitch w:val="default"/>
    <w:sig w:usb0="00000003" w:usb1="00000000" w:usb2="00000000" w:usb3="00000000" w:csb0="00000001" w:csb1="00000000"/>
  </w:font>
  <w:font w:name="AdvBOOKO-R">
    <w:panose1 w:val="00000000000000000000"/>
    <w:charset w:val="00"/>
    <w:family w:val="roman"/>
    <w:notTrueType/>
    <w:pitch w:val="default"/>
    <w:sig w:usb0="00000003" w:usb1="00000000" w:usb2="00000000" w:usb3="00000000" w:csb0="00000001" w:csb1="00000000"/>
  </w:font>
  <w:font w:name="MetaOffc-Norm">
    <w:panose1 w:val="00000000000000000000"/>
    <w:charset w:val="00"/>
    <w:family w:val="auto"/>
    <w:notTrueType/>
    <w:pitch w:val="default"/>
    <w:sig w:usb0="00000003" w:usb1="00000000" w:usb2="00000000" w:usb3="00000000" w:csb0="00000001" w:csb1="00000000"/>
  </w:font>
  <w:font w:name="AdvBOOKO-I">
    <w:panose1 w:val="00000000000000000000"/>
    <w:charset w:val="00"/>
    <w:family w:val="roman"/>
    <w:notTrueType/>
    <w:pitch w:val="default"/>
    <w:sig w:usb0="00000003" w:usb1="00000000" w:usb2="00000000" w:usb3="00000000" w:csb0="00000001" w:csb1="00000000"/>
  </w:font>
  <w:font w:name="AdvPSSPS-A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6A18"/>
    <w:rsid w:val="00403598"/>
    <w:rsid w:val="0073337D"/>
    <w:rsid w:val="00BD6A1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2016-11-13T08:11:00Z</dcterms:created>
  <dcterms:modified xsi:type="dcterms:W3CDTF">2016-11-13T08:13:00Z</dcterms:modified>
</cp:coreProperties>
</file>