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54" w:rsidRPr="0061490C" w:rsidRDefault="00BD3754" w:rsidP="00BD3754">
      <w:pPr>
        <w:jc w:val="center"/>
        <w:rPr>
          <w:b/>
          <w:bCs/>
          <w:sz w:val="24"/>
          <w:szCs w:val="24"/>
          <w:lang w:bidi="ne-NP"/>
        </w:rPr>
      </w:pPr>
      <w:r w:rsidRPr="0061490C">
        <w:rPr>
          <w:b/>
          <w:bCs/>
          <w:sz w:val="24"/>
          <w:szCs w:val="24"/>
          <w:lang w:bidi="ne-NP"/>
        </w:rPr>
        <w:t>Screening Retreatment TB Patients for Drug Resistance in Mid-West Nepal: How Well Are We Doing?</w:t>
      </w:r>
    </w:p>
    <w:p w:rsidR="00BD3754" w:rsidRPr="005C166D" w:rsidRDefault="00BD3754" w:rsidP="00BD3754">
      <w:pPr>
        <w:autoSpaceDE w:val="0"/>
        <w:autoSpaceDN w:val="0"/>
        <w:adjustRightInd w:val="0"/>
        <w:spacing w:after="0" w:line="360" w:lineRule="auto"/>
        <w:jc w:val="both"/>
        <w:rPr>
          <w:rFonts w:cs="StoneSerif"/>
          <w:sz w:val="24"/>
          <w:szCs w:val="24"/>
          <w:lang w:bidi="ne-NP"/>
        </w:rPr>
      </w:pPr>
      <w:r w:rsidRPr="005C166D">
        <w:rPr>
          <w:rFonts w:cs="StoneSerif"/>
          <w:sz w:val="24"/>
          <w:szCs w:val="24"/>
          <w:lang w:bidi="ne-NP"/>
        </w:rPr>
        <w:t>Tharu MB</w:t>
      </w:r>
      <w:r w:rsidRPr="005C166D">
        <w:rPr>
          <w:rFonts w:cs="StoneSerif"/>
          <w:sz w:val="24"/>
          <w:szCs w:val="24"/>
          <w:vertAlign w:val="superscript"/>
          <w:lang w:bidi="ne-NP"/>
        </w:rPr>
        <w:t>1</w:t>
      </w:r>
      <w:r w:rsidRPr="005C166D">
        <w:rPr>
          <w:rFonts w:cs="StoneSerif"/>
          <w:sz w:val="24"/>
          <w:szCs w:val="24"/>
          <w:lang w:bidi="ne-NP"/>
        </w:rPr>
        <w:t>, Harries AD</w:t>
      </w:r>
      <w:r w:rsidRPr="005C166D">
        <w:rPr>
          <w:rFonts w:cs="StoneSerif"/>
          <w:sz w:val="24"/>
          <w:szCs w:val="24"/>
          <w:vertAlign w:val="superscript"/>
          <w:lang w:bidi="ne-NP"/>
        </w:rPr>
        <w:t>2,3</w:t>
      </w:r>
      <w:r w:rsidRPr="005C166D">
        <w:rPr>
          <w:rFonts w:cs="StoneSerif"/>
          <w:sz w:val="24"/>
          <w:szCs w:val="24"/>
          <w:lang w:bidi="ne-NP"/>
        </w:rPr>
        <w:t>,  Goel S</w:t>
      </w:r>
      <w:r w:rsidRPr="005C166D">
        <w:rPr>
          <w:rFonts w:cs="StoneSerif"/>
          <w:sz w:val="24"/>
          <w:szCs w:val="24"/>
          <w:vertAlign w:val="superscript"/>
          <w:lang w:bidi="ne-NP"/>
        </w:rPr>
        <w:t>4</w:t>
      </w:r>
      <w:r w:rsidRPr="005C166D">
        <w:rPr>
          <w:rFonts w:cs="StoneSerif"/>
          <w:sz w:val="24"/>
          <w:szCs w:val="24"/>
          <w:lang w:bidi="ne-NP"/>
        </w:rPr>
        <w:t>, Srivastava S</w:t>
      </w:r>
      <w:r w:rsidRPr="005C166D">
        <w:rPr>
          <w:rFonts w:cs="StoneSerif"/>
          <w:sz w:val="24"/>
          <w:szCs w:val="24"/>
          <w:vertAlign w:val="superscript"/>
          <w:lang w:bidi="ne-NP"/>
        </w:rPr>
        <w:t>5</w:t>
      </w:r>
      <w:r w:rsidRPr="005C166D">
        <w:rPr>
          <w:rFonts w:cs="StoneSerif"/>
          <w:sz w:val="24"/>
          <w:szCs w:val="24"/>
          <w:lang w:bidi="ne-NP"/>
        </w:rPr>
        <w:t>, Kumar AMV</w:t>
      </w:r>
      <w:r w:rsidRPr="005C166D">
        <w:rPr>
          <w:rFonts w:cs="StoneSerif"/>
          <w:sz w:val="24"/>
          <w:szCs w:val="24"/>
          <w:vertAlign w:val="superscript"/>
          <w:lang w:bidi="ne-NP"/>
        </w:rPr>
        <w:t>6</w:t>
      </w:r>
      <w:r w:rsidRPr="005C166D">
        <w:rPr>
          <w:rFonts w:cs="StoneSerif"/>
          <w:sz w:val="24"/>
          <w:szCs w:val="24"/>
          <w:lang w:bidi="ne-NP"/>
        </w:rPr>
        <w:t>, Adhikari M</w:t>
      </w:r>
      <w:r w:rsidRPr="005C166D">
        <w:rPr>
          <w:rFonts w:cs="StoneSerif"/>
          <w:sz w:val="24"/>
          <w:szCs w:val="24"/>
          <w:vertAlign w:val="superscript"/>
          <w:lang w:bidi="ne-NP"/>
        </w:rPr>
        <w:t>1</w:t>
      </w:r>
      <w:r w:rsidRPr="005C166D">
        <w:rPr>
          <w:rFonts w:cs="StoneSerif"/>
          <w:sz w:val="24"/>
          <w:szCs w:val="24"/>
          <w:lang w:bidi="ne-NP"/>
        </w:rPr>
        <w:t>, BShrestha B</w:t>
      </w:r>
      <w:r w:rsidRPr="005C166D">
        <w:rPr>
          <w:rFonts w:cs="StoneSerif"/>
          <w:sz w:val="24"/>
          <w:szCs w:val="24"/>
          <w:vertAlign w:val="superscript"/>
          <w:lang w:bidi="ne-NP"/>
        </w:rPr>
        <w:t>7</w:t>
      </w:r>
      <w:r w:rsidRPr="005C166D">
        <w:rPr>
          <w:rFonts w:cs="StoneSerif"/>
          <w:sz w:val="24"/>
          <w:szCs w:val="24"/>
          <w:lang w:bidi="ne-NP"/>
        </w:rPr>
        <w:t>,</w:t>
      </w:r>
    </w:p>
    <w:p w:rsidR="00BD3754" w:rsidRPr="005C166D" w:rsidRDefault="00BD3754" w:rsidP="00BD3754">
      <w:pPr>
        <w:tabs>
          <w:tab w:val="left" w:pos="3206"/>
        </w:tabs>
        <w:spacing w:after="0" w:line="360" w:lineRule="auto"/>
        <w:jc w:val="both"/>
        <w:rPr>
          <w:rFonts w:cs="StoneSerif"/>
          <w:sz w:val="24"/>
          <w:szCs w:val="24"/>
          <w:lang w:bidi="ne-NP"/>
        </w:rPr>
      </w:pPr>
      <w:r w:rsidRPr="005C166D">
        <w:rPr>
          <w:rFonts w:cs="StoneSerif"/>
          <w:sz w:val="24"/>
          <w:szCs w:val="24"/>
          <w:lang w:bidi="ne-NP"/>
        </w:rPr>
        <w:t>Maharjan B</w:t>
      </w:r>
      <w:r w:rsidRPr="005C166D">
        <w:rPr>
          <w:rFonts w:cs="StoneSerif"/>
          <w:sz w:val="24"/>
          <w:szCs w:val="24"/>
          <w:vertAlign w:val="superscript"/>
          <w:lang w:bidi="ne-NP"/>
        </w:rPr>
        <w:t>7</w:t>
      </w:r>
      <w:r w:rsidRPr="005C166D">
        <w:rPr>
          <w:rFonts w:cs="StoneSerif"/>
          <w:sz w:val="24"/>
          <w:szCs w:val="24"/>
          <w:lang w:bidi="ne-NP"/>
        </w:rPr>
        <w:t>, Khadka H</w:t>
      </w:r>
      <w:r w:rsidRPr="005C166D">
        <w:rPr>
          <w:rFonts w:cs="StoneSerif"/>
          <w:sz w:val="24"/>
          <w:szCs w:val="24"/>
          <w:vertAlign w:val="superscript"/>
          <w:lang w:bidi="ne-NP"/>
        </w:rPr>
        <w:t>1</w:t>
      </w:r>
      <w:r w:rsidRPr="005C166D">
        <w:rPr>
          <w:rFonts w:cs="StoneSerif"/>
          <w:sz w:val="24"/>
          <w:szCs w:val="24"/>
          <w:lang w:bidi="ne-NP"/>
        </w:rPr>
        <w:t>.</w:t>
      </w:r>
    </w:p>
    <w:p w:rsidR="00BD3754" w:rsidRDefault="00BD3754" w:rsidP="00BD3754">
      <w:pPr>
        <w:tabs>
          <w:tab w:val="left" w:pos="3206"/>
        </w:tabs>
        <w:spacing w:after="0" w:line="360" w:lineRule="auto"/>
        <w:jc w:val="both"/>
        <w:rPr>
          <w:rFonts w:cs="StoneSans"/>
          <w:sz w:val="24"/>
          <w:szCs w:val="24"/>
          <w:lang w:bidi="ne-NP"/>
        </w:rPr>
      </w:pPr>
      <w:r w:rsidRPr="005C166D">
        <w:rPr>
          <w:rFonts w:cs="StoneSans"/>
          <w:sz w:val="24"/>
          <w:szCs w:val="24"/>
          <w:vertAlign w:val="superscript"/>
          <w:lang w:bidi="ne-NP"/>
        </w:rPr>
        <w:t>1</w:t>
      </w:r>
      <w:r w:rsidRPr="005C166D">
        <w:rPr>
          <w:rFonts w:cs="StoneSans"/>
          <w:sz w:val="24"/>
          <w:szCs w:val="24"/>
          <w:lang w:bidi="ne-NP"/>
        </w:rPr>
        <w:t xml:space="preserve">International Nepal Fellowship, Pokhara, Nepal, </w:t>
      </w:r>
      <w:r w:rsidRPr="005C166D">
        <w:rPr>
          <w:rFonts w:cs="StoneSans"/>
          <w:sz w:val="24"/>
          <w:szCs w:val="24"/>
          <w:vertAlign w:val="superscript"/>
          <w:lang w:bidi="ne-NP"/>
        </w:rPr>
        <w:t>2</w:t>
      </w:r>
      <w:r w:rsidRPr="005C166D">
        <w:rPr>
          <w:rFonts w:cs="StoneSans"/>
          <w:sz w:val="24"/>
          <w:szCs w:val="24"/>
          <w:lang w:bidi="ne-NP"/>
        </w:rPr>
        <w:t xml:space="preserve"> International Union Against Tuberculosis and Lung Disease (The Union), Paris, France, </w:t>
      </w:r>
      <w:r w:rsidRPr="005C166D">
        <w:rPr>
          <w:rFonts w:cs="StoneSans"/>
          <w:sz w:val="24"/>
          <w:szCs w:val="24"/>
          <w:vertAlign w:val="superscript"/>
          <w:lang w:bidi="ne-NP"/>
        </w:rPr>
        <w:t>3</w:t>
      </w:r>
      <w:r w:rsidRPr="005C166D">
        <w:rPr>
          <w:rFonts w:cs="StoneSans"/>
          <w:sz w:val="24"/>
          <w:szCs w:val="24"/>
          <w:lang w:bidi="ne-NP"/>
        </w:rPr>
        <w:t xml:space="preserve">London School of Hygiene &amp; Tropical Medicine, London, UK, </w:t>
      </w:r>
      <w:r w:rsidRPr="005C166D">
        <w:rPr>
          <w:rFonts w:cs="StoneSans"/>
          <w:sz w:val="24"/>
          <w:szCs w:val="24"/>
          <w:vertAlign w:val="superscript"/>
          <w:lang w:bidi="ne-NP"/>
        </w:rPr>
        <w:t>4</w:t>
      </w:r>
      <w:r w:rsidRPr="005C166D">
        <w:rPr>
          <w:rFonts w:cs="StoneSans"/>
          <w:sz w:val="24"/>
          <w:szCs w:val="24"/>
          <w:lang w:bidi="ne-NP"/>
        </w:rPr>
        <w:t xml:space="preserve">School of Public Health, Post Graduate Institute of Medical Education &amp; Research, Chandigarh, India, </w:t>
      </w:r>
      <w:r w:rsidRPr="005C166D">
        <w:rPr>
          <w:rFonts w:cs="StoneSans"/>
          <w:sz w:val="24"/>
          <w:szCs w:val="24"/>
          <w:vertAlign w:val="superscript"/>
          <w:lang w:bidi="ne-NP"/>
        </w:rPr>
        <w:t>5</w:t>
      </w:r>
      <w:r w:rsidRPr="005C166D">
        <w:rPr>
          <w:rFonts w:cs="StoneSans"/>
          <w:sz w:val="24"/>
          <w:szCs w:val="24"/>
          <w:lang w:bidi="ne-NP"/>
        </w:rPr>
        <w:t xml:space="preserve">Public Health Foundation of India, New Delhi, India, </w:t>
      </w:r>
      <w:r w:rsidRPr="005C166D">
        <w:rPr>
          <w:rFonts w:cs="StoneSans"/>
          <w:sz w:val="24"/>
          <w:szCs w:val="24"/>
          <w:vertAlign w:val="superscript"/>
          <w:lang w:bidi="ne-NP"/>
        </w:rPr>
        <w:t>6</w:t>
      </w:r>
      <w:r w:rsidRPr="005C166D">
        <w:rPr>
          <w:rFonts w:cs="StoneSans"/>
          <w:sz w:val="24"/>
          <w:szCs w:val="24"/>
          <w:lang w:bidi="ne-NP"/>
        </w:rPr>
        <w:t xml:space="preserve">The Union, South-East Asia Regional Office, New Delhi, India, </w:t>
      </w:r>
      <w:r w:rsidRPr="005C166D">
        <w:rPr>
          <w:rFonts w:cs="StoneSans"/>
          <w:sz w:val="24"/>
          <w:szCs w:val="24"/>
          <w:vertAlign w:val="superscript"/>
          <w:lang w:bidi="ne-NP"/>
        </w:rPr>
        <w:t>7</w:t>
      </w:r>
      <w:r w:rsidRPr="005C166D">
        <w:rPr>
          <w:rFonts w:cs="StoneSans"/>
          <w:sz w:val="24"/>
          <w:szCs w:val="24"/>
          <w:lang w:bidi="ne-NP"/>
        </w:rPr>
        <w:t>Nepal Anti Tuberculosis Association, GENETUP Central Reference Laboratory, Kathmandu, Nepal.</w:t>
      </w:r>
    </w:p>
    <w:p w:rsidR="00BD3754" w:rsidRPr="005C166D" w:rsidRDefault="00BD3754" w:rsidP="00BD3754">
      <w:pPr>
        <w:tabs>
          <w:tab w:val="left" w:pos="3206"/>
        </w:tabs>
        <w:spacing w:after="0" w:line="360" w:lineRule="auto"/>
        <w:jc w:val="both"/>
        <w:rPr>
          <w:rFonts w:cs="StoneSerif"/>
          <w:sz w:val="24"/>
          <w:szCs w:val="24"/>
          <w:lang w:bidi="ne-NP"/>
        </w:rPr>
      </w:pPr>
      <w:r>
        <w:rPr>
          <w:rFonts w:cs="StoneSans"/>
          <w:sz w:val="24"/>
          <w:szCs w:val="24"/>
          <w:lang w:bidi="ne-NP"/>
        </w:rPr>
        <w:t>Date: 2013</w:t>
      </w:r>
    </w:p>
    <w:p w:rsidR="00BD3754" w:rsidRPr="005C166D" w:rsidRDefault="00BD3754" w:rsidP="00BD3754">
      <w:pPr>
        <w:tabs>
          <w:tab w:val="left" w:pos="3206"/>
        </w:tabs>
        <w:spacing w:before="240" w:after="0" w:line="360" w:lineRule="auto"/>
        <w:jc w:val="both"/>
        <w:rPr>
          <w:rFonts w:cs="StoneSans"/>
          <w:b/>
          <w:bCs/>
          <w:sz w:val="24"/>
          <w:szCs w:val="24"/>
          <w:lang w:bidi="ne-NP"/>
        </w:rPr>
      </w:pPr>
      <w:r w:rsidRPr="005C166D">
        <w:rPr>
          <w:rFonts w:cs="StoneSans"/>
          <w:b/>
          <w:bCs/>
          <w:sz w:val="24"/>
          <w:szCs w:val="24"/>
          <w:lang w:bidi="ne-NP"/>
        </w:rPr>
        <w:t>Background</w:t>
      </w:r>
    </w:p>
    <w:p w:rsidR="00BD3754" w:rsidRPr="005C166D" w:rsidRDefault="00BD3754" w:rsidP="00BD3754">
      <w:pPr>
        <w:autoSpaceDE w:val="0"/>
        <w:autoSpaceDN w:val="0"/>
        <w:adjustRightInd w:val="0"/>
        <w:spacing w:after="0" w:line="360" w:lineRule="auto"/>
        <w:jc w:val="both"/>
        <w:rPr>
          <w:rFonts w:cs="StoneSans"/>
          <w:sz w:val="24"/>
          <w:szCs w:val="24"/>
          <w:lang w:bidi="ne-NP"/>
        </w:rPr>
      </w:pPr>
      <w:r w:rsidRPr="005C166D">
        <w:rPr>
          <w:rFonts w:cs="StoneSans"/>
          <w:sz w:val="24"/>
          <w:szCs w:val="24"/>
          <w:lang w:bidi="ne-NP"/>
        </w:rPr>
        <w:t>Multidrug-resistant tuberculosis (MDR-TB, defined as resistance to isoniazid and rifampicin) is poorly detected in Nepal; one reason may be poor functioning of culture and drug susceptibility testing (CDST) services for retreatment tuberculosis (TB) patients.</w:t>
      </w:r>
    </w:p>
    <w:p w:rsidR="00BD3754" w:rsidRPr="005C166D" w:rsidRDefault="00BD3754" w:rsidP="00BD3754">
      <w:pPr>
        <w:tabs>
          <w:tab w:val="left" w:pos="3206"/>
        </w:tabs>
        <w:spacing w:after="0" w:line="360" w:lineRule="auto"/>
        <w:jc w:val="both"/>
        <w:rPr>
          <w:rFonts w:cs="StoneSans"/>
          <w:b/>
          <w:bCs/>
          <w:sz w:val="24"/>
          <w:szCs w:val="24"/>
          <w:lang w:bidi="ne-NP"/>
        </w:rPr>
      </w:pPr>
      <w:r w:rsidRPr="005C166D">
        <w:rPr>
          <w:rFonts w:cs="StoneSans"/>
          <w:b/>
          <w:bCs/>
          <w:sz w:val="24"/>
          <w:szCs w:val="24"/>
          <w:lang w:bidi="ne-NP"/>
        </w:rPr>
        <w:t>Methods</w:t>
      </w:r>
    </w:p>
    <w:p w:rsidR="00BD3754" w:rsidRPr="005C166D" w:rsidRDefault="00BD3754" w:rsidP="00BD3754">
      <w:pPr>
        <w:autoSpaceDE w:val="0"/>
        <w:autoSpaceDN w:val="0"/>
        <w:adjustRightInd w:val="0"/>
        <w:spacing w:after="0" w:line="360" w:lineRule="auto"/>
        <w:jc w:val="both"/>
        <w:rPr>
          <w:rFonts w:cs="StoneSerif"/>
          <w:sz w:val="24"/>
          <w:szCs w:val="24"/>
          <w:lang w:bidi="ne-NP"/>
        </w:rPr>
      </w:pPr>
      <w:r w:rsidRPr="005C166D">
        <w:rPr>
          <w:rFonts w:cs="StoneSerif"/>
          <w:sz w:val="24"/>
          <w:szCs w:val="24"/>
          <w:lang w:bidi="ne-NP"/>
        </w:rPr>
        <w:t>This was a retrospective cohort study of retreatment TB patients and CDST performance and results. All retreatment patients diagnosed and registered as relapse, failure and RAD in the mid-west region of Nepal in the National TB Report and retreatment patients who were registered at INF-NTRC for CDST from 16 July 2011 to 15 July 2012 were included in the study. All data were collected into a structured proforma between March and September 2013. Data were double-entered into EpiData (version 3.1, EpiData Association, Odense, Denmark), and validated and analyzed using EpiData Analysis.</w:t>
      </w:r>
    </w:p>
    <w:p w:rsidR="00BD3754" w:rsidRPr="005C166D" w:rsidRDefault="00BD3754" w:rsidP="00BD3754">
      <w:pPr>
        <w:tabs>
          <w:tab w:val="left" w:pos="3206"/>
        </w:tabs>
        <w:spacing w:after="0" w:line="360" w:lineRule="auto"/>
        <w:jc w:val="both"/>
        <w:rPr>
          <w:rFonts w:cs="StoneSans"/>
          <w:b/>
          <w:bCs/>
          <w:sz w:val="24"/>
          <w:szCs w:val="24"/>
          <w:lang w:bidi="ne-NP"/>
        </w:rPr>
      </w:pPr>
      <w:r w:rsidRPr="005C166D">
        <w:rPr>
          <w:rFonts w:cs="StoneSans"/>
          <w:b/>
          <w:bCs/>
          <w:sz w:val="24"/>
          <w:szCs w:val="24"/>
          <w:lang w:bidi="ne-NP"/>
        </w:rPr>
        <w:t>Results</w:t>
      </w:r>
    </w:p>
    <w:p w:rsidR="00BD3754" w:rsidRPr="005C166D" w:rsidRDefault="00BD3754" w:rsidP="00BD3754">
      <w:pPr>
        <w:autoSpaceDE w:val="0"/>
        <w:autoSpaceDN w:val="0"/>
        <w:adjustRightInd w:val="0"/>
        <w:spacing w:after="0" w:line="360" w:lineRule="auto"/>
        <w:jc w:val="both"/>
        <w:rPr>
          <w:rFonts w:cs="StoneSans"/>
          <w:sz w:val="24"/>
          <w:szCs w:val="24"/>
          <w:lang w:bidi="ne-NP"/>
        </w:rPr>
      </w:pPr>
      <w:r w:rsidRPr="005C166D">
        <w:rPr>
          <w:rFonts w:cs="StoneSans"/>
          <w:sz w:val="24"/>
          <w:szCs w:val="24"/>
          <w:lang w:bidi="ne-NP"/>
        </w:rPr>
        <w:t>Of 431 retreatment patients, 66 (15%) submitted sputum samples, of which 63 reached the CRL. Of these, 39 (62%) were culture-positive; 13 (33%) patients had MDR-TB. The CDST results of 19 patients were received back at the TB Referral Centre. The median turnaround time from sending specimens to receipt of results at the TB Referral Centre was 119 days.</w:t>
      </w:r>
    </w:p>
    <w:p w:rsidR="00BD3754" w:rsidRPr="005C166D" w:rsidRDefault="00BD3754" w:rsidP="00BD3754">
      <w:pPr>
        <w:tabs>
          <w:tab w:val="left" w:pos="3206"/>
        </w:tabs>
        <w:spacing w:after="0" w:line="360" w:lineRule="auto"/>
        <w:jc w:val="both"/>
        <w:rPr>
          <w:rFonts w:cs="StoneSans"/>
          <w:b/>
          <w:bCs/>
          <w:sz w:val="24"/>
          <w:szCs w:val="24"/>
          <w:lang w:bidi="ne-NP"/>
        </w:rPr>
      </w:pPr>
      <w:r w:rsidRPr="005C166D">
        <w:rPr>
          <w:rFonts w:cs="StoneSans"/>
          <w:b/>
          <w:bCs/>
          <w:sz w:val="24"/>
          <w:szCs w:val="24"/>
          <w:lang w:bidi="ne-NP"/>
        </w:rPr>
        <w:t>Conclusions</w:t>
      </w:r>
    </w:p>
    <w:p w:rsidR="00BD3754" w:rsidRPr="005C166D" w:rsidRDefault="00BD3754" w:rsidP="00BD3754">
      <w:pPr>
        <w:autoSpaceDE w:val="0"/>
        <w:autoSpaceDN w:val="0"/>
        <w:adjustRightInd w:val="0"/>
        <w:spacing w:after="0" w:line="360" w:lineRule="auto"/>
        <w:jc w:val="both"/>
        <w:rPr>
          <w:rFonts w:cs="StoneSans"/>
          <w:sz w:val="24"/>
          <w:szCs w:val="24"/>
          <w:lang w:bidi="ne-NP"/>
        </w:rPr>
      </w:pPr>
      <w:r w:rsidRPr="005C166D">
        <w:rPr>
          <w:rFonts w:cs="StoneSans"/>
          <w:sz w:val="24"/>
          <w:szCs w:val="24"/>
          <w:lang w:bidi="ne-NP"/>
        </w:rPr>
        <w:lastRenderedPageBreak/>
        <w:t>Less than 10% of retreatment TB patients in mid-West Nepal had CDST results recorded, leading to the under diagnosis of MDR-TB in the region. Urgent solutions are needed to rectify this problem.</w:t>
      </w:r>
    </w:p>
    <w:p w:rsidR="00BD3754" w:rsidRDefault="00BD3754" w:rsidP="00BD3754">
      <w:pPr>
        <w:autoSpaceDE w:val="0"/>
        <w:autoSpaceDN w:val="0"/>
        <w:adjustRightInd w:val="0"/>
        <w:spacing w:after="0" w:line="360" w:lineRule="auto"/>
        <w:jc w:val="both"/>
        <w:rPr>
          <w:rFonts w:cs="StoneSans"/>
          <w:sz w:val="24"/>
          <w:szCs w:val="24"/>
          <w:lang w:bidi="ne-NP"/>
        </w:rPr>
      </w:pPr>
      <w:r w:rsidRPr="005C166D">
        <w:rPr>
          <w:rFonts w:cs="StoneSans"/>
          <w:b/>
          <w:bCs/>
          <w:sz w:val="24"/>
          <w:szCs w:val="24"/>
          <w:lang w:bidi="ne-NP"/>
        </w:rPr>
        <w:t xml:space="preserve">Keywords: </w:t>
      </w:r>
      <w:r w:rsidRPr="005C166D">
        <w:rPr>
          <w:rFonts w:cs="StoneSans"/>
          <w:sz w:val="24"/>
          <w:szCs w:val="24"/>
          <w:lang w:bidi="ne-NP"/>
        </w:rPr>
        <w:t>central reference laboratory; culture and drug susceptibility testing; multidrug-resistant tuberculosis; Nepal; operational research; retreatment tuberculosis.</w:t>
      </w:r>
    </w:p>
    <w:p w:rsidR="00C67473" w:rsidRDefault="00C67473"/>
    <w:sectPr w:rsidR="00C67473" w:rsidSect="00C67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toneSerif">
    <w:panose1 w:val="00000000000000000000"/>
    <w:charset w:val="00"/>
    <w:family w:val="roman"/>
    <w:notTrueType/>
    <w:pitch w:val="default"/>
    <w:sig w:usb0="00000003" w:usb1="00000000" w:usb2="00000000" w:usb3="00000000" w:csb0="00000001" w:csb1="00000000"/>
  </w:font>
  <w:font w:name="Stone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3754"/>
    <w:rsid w:val="00BD3754"/>
    <w:rsid w:val="00C6747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2016-11-10T14:20:00Z</dcterms:created>
  <dcterms:modified xsi:type="dcterms:W3CDTF">2016-11-10T14:22:00Z</dcterms:modified>
</cp:coreProperties>
</file>