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02" w:rsidRPr="00DC4DEE" w:rsidRDefault="00B13F02" w:rsidP="00B13F02">
      <w:pPr>
        <w:jc w:val="center"/>
        <w:rPr>
          <w:b/>
          <w:bCs/>
          <w:color w:val="FF0000"/>
          <w:sz w:val="24"/>
          <w:szCs w:val="24"/>
          <w:lang w:bidi="ne-NP"/>
        </w:rPr>
      </w:pPr>
      <w:r w:rsidRPr="00DC4DEE">
        <w:rPr>
          <w:b/>
          <w:bCs/>
          <w:color w:val="FF0000"/>
          <w:sz w:val="24"/>
          <w:szCs w:val="24"/>
          <w:lang w:bidi="ne-NP"/>
        </w:rPr>
        <w:t>Comparing the Effectiveness of WHO Formula Alcohol-Based Hand Sanitizer Produced in Kathmandu to Commercially Available Alcohol-Based Hand Sanitizer at the International Friendship Children's Hospital</w:t>
      </w:r>
    </w:p>
    <w:p w:rsidR="00B13F02" w:rsidRPr="00DC4DEE" w:rsidRDefault="00B13F02" w:rsidP="00B13F02">
      <w:pPr>
        <w:spacing w:after="0" w:line="360" w:lineRule="auto"/>
        <w:jc w:val="both"/>
        <w:rPr>
          <w:rFonts w:eastAsia="Times New Roman" w:cs="Times New Roman"/>
          <w:color w:val="FF0000"/>
          <w:sz w:val="24"/>
          <w:szCs w:val="24"/>
          <w:lang w:bidi="ne-NP"/>
        </w:rPr>
      </w:pPr>
      <w:r w:rsidRPr="00DC4DEE">
        <w:rPr>
          <w:rFonts w:eastAsia="Times New Roman" w:cs="Times New Roman"/>
          <w:color w:val="FF0000"/>
          <w:sz w:val="24"/>
          <w:szCs w:val="24"/>
          <w:lang w:bidi="ne-NP"/>
        </w:rPr>
        <w:t>Nicholas TG</w:t>
      </w:r>
      <w:r w:rsidRPr="00DC4DEE">
        <w:rPr>
          <w:rFonts w:eastAsia="Times New Roman" w:cs="Times New Roman"/>
          <w:color w:val="FF0000"/>
          <w:sz w:val="24"/>
          <w:szCs w:val="24"/>
          <w:vertAlign w:val="superscript"/>
          <w:lang w:bidi="ne-NP"/>
        </w:rPr>
        <w:t>1</w:t>
      </w:r>
      <w:r w:rsidRPr="00DC4DEE">
        <w:rPr>
          <w:rFonts w:eastAsia="Times New Roman" w:cs="Times New Roman"/>
          <w:color w:val="FF0000"/>
          <w:sz w:val="24"/>
          <w:szCs w:val="24"/>
          <w:lang w:bidi="ne-NP"/>
        </w:rPr>
        <w:t xml:space="preserve">, </w:t>
      </w:r>
      <w:proofErr w:type="spellStart"/>
      <w:r w:rsidRPr="00DC4DEE">
        <w:rPr>
          <w:rFonts w:eastAsia="Times New Roman" w:cs="Times New Roman"/>
          <w:color w:val="FF0000"/>
          <w:sz w:val="24"/>
          <w:szCs w:val="24"/>
          <w:lang w:bidi="ne-NP"/>
        </w:rPr>
        <w:t>Caroll</w:t>
      </w:r>
      <w:proofErr w:type="spellEnd"/>
      <w:r w:rsidRPr="00DC4DEE">
        <w:rPr>
          <w:rFonts w:eastAsia="Times New Roman" w:cs="Times New Roman"/>
          <w:color w:val="FF0000"/>
          <w:sz w:val="24"/>
          <w:szCs w:val="24"/>
          <w:lang w:bidi="ne-NP"/>
        </w:rPr>
        <w:t xml:space="preserve"> J</w:t>
      </w:r>
      <w:r w:rsidRPr="00DC4DEE">
        <w:rPr>
          <w:rFonts w:eastAsia="Times New Roman" w:cs="Times New Roman"/>
          <w:color w:val="FF0000"/>
          <w:sz w:val="24"/>
          <w:szCs w:val="24"/>
          <w:vertAlign w:val="superscript"/>
          <w:lang w:bidi="ne-NP"/>
        </w:rPr>
        <w:t>1</w:t>
      </w:r>
      <w:r w:rsidRPr="00DC4DEE">
        <w:rPr>
          <w:rFonts w:eastAsia="Times New Roman" w:cs="Times New Roman"/>
          <w:color w:val="FF0000"/>
          <w:sz w:val="24"/>
          <w:szCs w:val="24"/>
          <w:lang w:bidi="ne-NP"/>
        </w:rPr>
        <w:t xml:space="preserve">, </w:t>
      </w:r>
      <w:proofErr w:type="spellStart"/>
      <w:r w:rsidRPr="00DC4DEE">
        <w:rPr>
          <w:rFonts w:eastAsia="Times New Roman" w:cs="Times New Roman"/>
          <w:color w:val="FF0000"/>
          <w:sz w:val="24"/>
          <w:szCs w:val="24"/>
          <w:lang w:bidi="ne-NP"/>
        </w:rPr>
        <w:t>Shrestha</w:t>
      </w:r>
      <w:proofErr w:type="spellEnd"/>
      <w:r w:rsidRPr="00DC4DEE">
        <w:rPr>
          <w:rFonts w:eastAsia="Times New Roman" w:cs="Times New Roman"/>
          <w:color w:val="FF0000"/>
          <w:sz w:val="24"/>
          <w:szCs w:val="24"/>
          <w:lang w:bidi="ne-NP"/>
        </w:rPr>
        <w:t xml:space="preserve"> A</w:t>
      </w:r>
      <w:r w:rsidRPr="00DC4DEE">
        <w:rPr>
          <w:rFonts w:eastAsia="Times New Roman" w:cs="Times New Roman"/>
          <w:color w:val="FF0000"/>
          <w:sz w:val="24"/>
          <w:szCs w:val="24"/>
          <w:vertAlign w:val="superscript"/>
          <w:lang w:bidi="ne-NP"/>
        </w:rPr>
        <w:t>2</w:t>
      </w:r>
      <w:r w:rsidRPr="00DC4DEE">
        <w:rPr>
          <w:rFonts w:eastAsia="Times New Roman" w:cs="Times New Roman"/>
          <w:color w:val="FF0000"/>
          <w:sz w:val="24"/>
          <w:szCs w:val="24"/>
          <w:lang w:bidi="ne-NP"/>
        </w:rPr>
        <w:t xml:space="preserve">, </w:t>
      </w:r>
      <w:proofErr w:type="spellStart"/>
      <w:r w:rsidRPr="00DC4DEE">
        <w:rPr>
          <w:rFonts w:eastAsia="Times New Roman" w:cs="Times New Roman"/>
          <w:color w:val="FF0000"/>
          <w:sz w:val="24"/>
          <w:szCs w:val="24"/>
          <w:lang w:bidi="ne-NP"/>
        </w:rPr>
        <w:t>Pokhrel</w:t>
      </w:r>
      <w:proofErr w:type="spellEnd"/>
      <w:r w:rsidRPr="00DC4DEE">
        <w:rPr>
          <w:rFonts w:eastAsia="Times New Roman" w:cs="Times New Roman"/>
          <w:color w:val="FF0000"/>
          <w:sz w:val="24"/>
          <w:szCs w:val="24"/>
          <w:lang w:bidi="ne-NP"/>
        </w:rPr>
        <w:t xml:space="preserve"> A</w:t>
      </w:r>
      <w:r w:rsidRPr="00DC4DEE">
        <w:rPr>
          <w:rFonts w:eastAsia="Times New Roman" w:cs="Times New Roman"/>
          <w:color w:val="FF0000"/>
          <w:sz w:val="24"/>
          <w:szCs w:val="24"/>
          <w:vertAlign w:val="superscript"/>
          <w:lang w:bidi="ne-NP"/>
        </w:rPr>
        <w:t>2</w:t>
      </w:r>
      <w:r w:rsidRPr="00DC4DEE">
        <w:rPr>
          <w:rFonts w:eastAsia="Times New Roman" w:cs="Times New Roman"/>
          <w:color w:val="FF0000"/>
          <w:sz w:val="24"/>
          <w:szCs w:val="24"/>
          <w:lang w:bidi="ne-NP"/>
        </w:rPr>
        <w:t xml:space="preserve">, </w:t>
      </w:r>
      <w:proofErr w:type="spellStart"/>
      <w:r w:rsidRPr="00DC4DEE">
        <w:rPr>
          <w:rFonts w:eastAsia="Times New Roman" w:cs="Times New Roman"/>
          <w:color w:val="FF0000"/>
          <w:sz w:val="24"/>
          <w:szCs w:val="24"/>
          <w:lang w:bidi="ne-NP"/>
        </w:rPr>
        <w:t>Shakya</w:t>
      </w:r>
      <w:proofErr w:type="spellEnd"/>
      <w:r w:rsidRPr="00DC4DEE">
        <w:rPr>
          <w:rFonts w:eastAsia="Times New Roman" w:cs="Times New Roman"/>
          <w:color w:val="FF0000"/>
          <w:sz w:val="24"/>
          <w:szCs w:val="24"/>
          <w:lang w:bidi="ne-NP"/>
        </w:rPr>
        <w:t xml:space="preserve"> SC</w:t>
      </w:r>
      <w:r w:rsidRPr="00DC4DEE">
        <w:rPr>
          <w:rFonts w:eastAsia="Times New Roman" w:cs="Times New Roman"/>
          <w:color w:val="FF0000"/>
          <w:sz w:val="24"/>
          <w:szCs w:val="24"/>
          <w:vertAlign w:val="superscript"/>
          <w:lang w:bidi="ne-NP"/>
        </w:rPr>
        <w:t>2</w:t>
      </w:r>
      <w:r w:rsidRPr="00DC4DEE">
        <w:rPr>
          <w:rFonts w:eastAsia="Times New Roman" w:cs="Times New Roman"/>
          <w:color w:val="FF0000"/>
          <w:sz w:val="24"/>
          <w:szCs w:val="24"/>
          <w:lang w:bidi="ne-NP"/>
        </w:rPr>
        <w:t>, Lane N</w:t>
      </w:r>
      <w:r w:rsidRPr="00DC4DEE">
        <w:rPr>
          <w:rFonts w:eastAsia="Times New Roman" w:cs="Times New Roman"/>
          <w:color w:val="FF0000"/>
          <w:sz w:val="24"/>
          <w:szCs w:val="24"/>
          <w:vertAlign w:val="superscript"/>
          <w:lang w:bidi="ne-NP"/>
        </w:rPr>
        <w:t>3</w:t>
      </w:r>
    </w:p>
    <w:p w:rsidR="00B13F02" w:rsidRPr="00DC4DEE" w:rsidRDefault="00B13F02" w:rsidP="00B13F02">
      <w:pPr>
        <w:spacing w:after="0" w:line="360" w:lineRule="auto"/>
        <w:jc w:val="both"/>
        <w:rPr>
          <w:rFonts w:cs="Arial"/>
          <w:color w:val="FF0000"/>
          <w:sz w:val="24"/>
          <w:szCs w:val="24"/>
        </w:rPr>
      </w:pPr>
      <w:r w:rsidRPr="00DC4DEE">
        <w:rPr>
          <w:rFonts w:eastAsia="Times New Roman" w:cs="Times New Roman"/>
          <w:color w:val="FF0000"/>
          <w:sz w:val="24"/>
          <w:szCs w:val="24"/>
          <w:vertAlign w:val="superscript"/>
          <w:lang w:bidi="ne-NP"/>
        </w:rPr>
        <w:t>1</w:t>
      </w:r>
      <w:r w:rsidRPr="00DC4DEE">
        <w:rPr>
          <w:rFonts w:cs="Arial"/>
          <w:color w:val="FF0000"/>
          <w:sz w:val="24"/>
          <w:szCs w:val="24"/>
        </w:rPr>
        <w:t xml:space="preserve">School of Medicine and Dentistry, King's College London, London, United Kingdom, </w:t>
      </w:r>
      <w:r w:rsidRPr="00DC4DEE">
        <w:rPr>
          <w:rFonts w:cs="Arial"/>
          <w:color w:val="FF0000"/>
          <w:sz w:val="24"/>
          <w:szCs w:val="24"/>
          <w:vertAlign w:val="superscript"/>
        </w:rPr>
        <w:t>2</w:t>
      </w:r>
      <w:r w:rsidRPr="00DC4DEE">
        <w:rPr>
          <w:rFonts w:cs="Arial"/>
          <w:color w:val="FF0000"/>
          <w:sz w:val="24"/>
          <w:szCs w:val="24"/>
        </w:rPr>
        <w:t xml:space="preserve">International Friendship Children's Hospital, Kathmandu, Nepal, </w:t>
      </w:r>
      <w:r w:rsidRPr="00DC4DEE">
        <w:rPr>
          <w:rFonts w:cs="Arial"/>
          <w:color w:val="FF0000"/>
          <w:sz w:val="24"/>
          <w:szCs w:val="24"/>
          <w:vertAlign w:val="superscript"/>
        </w:rPr>
        <w:t>3</w:t>
      </w:r>
      <w:r w:rsidRPr="00DC4DEE">
        <w:rPr>
          <w:rFonts w:cs="Arial"/>
          <w:color w:val="FF0000"/>
          <w:sz w:val="24"/>
          <w:szCs w:val="24"/>
        </w:rPr>
        <w:t xml:space="preserve">Institute of Health Policy, Management and Evaluation, University of </w:t>
      </w:r>
      <w:proofErr w:type="spellStart"/>
      <w:r w:rsidRPr="00DC4DEE">
        <w:rPr>
          <w:rFonts w:cs="Arial"/>
          <w:color w:val="FF0000"/>
          <w:sz w:val="24"/>
          <w:szCs w:val="24"/>
        </w:rPr>
        <w:t>Torronto</w:t>
      </w:r>
      <w:proofErr w:type="spellEnd"/>
      <w:r w:rsidRPr="00DC4DEE">
        <w:rPr>
          <w:rFonts w:cs="Arial"/>
          <w:color w:val="FF0000"/>
          <w:sz w:val="24"/>
          <w:szCs w:val="24"/>
        </w:rPr>
        <w:t>, Canada.</w:t>
      </w:r>
    </w:p>
    <w:p w:rsidR="00B13F02" w:rsidRPr="00DC4DEE" w:rsidRDefault="00B13F02" w:rsidP="00B13F02">
      <w:pPr>
        <w:spacing w:after="0" w:line="360" w:lineRule="auto"/>
        <w:jc w:val="both"/>
        <w:rPr>
          <w:rFonts w:eastAsia="Times New Roman" w:cs="Times New Roman"/>
          <w:color w:val="FF0000"/>
          <w:sz w:val="24"/>
          <w:szCs w:val="24"/>
          <w:lang w:bidi="ne-NP"/>
        </w:rPr>
      </w:pPr>
      <w:r w:rsidRPr="00DC4DEE">
        <w:rPr>
          <w:rFonts w:cs="Arial"/>
          <w:color w:val="FF0000"/>
          <w:sz w:val="24"/>
          <w:szCs w:val="24"/>
        </w:rPr>
        <w:t>Date: 2014</w:t>
      </w:r>
    </w:p>
    <w:p w:rsidR="00B13F02" w:rsidRPr="00DC4DEE" w:rsidRDefault="00B13F02" w:rsidP="00B13F02">
      <w:pPr>
        <w:tabs>
          <w:tab w:val="left" w:pos="3206"/>
        </w:tabs>
        <w:spacing w:before="240" w:after="0" w:line="360" w:lineRule="auto"/>
        <w:jc w:val="both"/>
        <w:rPr>
          <w:rFonts w:cs="MetaOffc-Norm"/>
          <w:b/>
          <w:bCs/>
          <w:color w:val="FF0000"/>
          <w:sz w:val="24"/>
          <w:szCs w:val="24"/>
          <w:lang w:bidi="ne-NP"/>
        </w:rPr>
      </w:pPr>
      <w:r w:rsidRPr="00DC4DEE">
        <w:rPr>
          <w:rFonts w:cs="MetaOffc-Norm"/>
          <w:b/>
          <w:bCs/>
          <w:color w:val="FF0000"/>
          <w:sz w:val="24"/>
          <w:szCs w:val="24"/>
          <w:lang w:bidi="ne-NP"/>
        </w:rPr>
        <w:t>Background</w:t>
      </w:r>
    </w:p>
    <w:p w:rsidR="00B13F02" w:rsidRPr="00DC4DEE" w:rsidRDefault="00B13F02" w:rsidP="00B13F02">
      <w:pPr>
        <w:autoSpaceDE w:val="0"/>
        <w:autoSpaceDN w:val="0"/>
        <w:adjustRightInd w:val="0"/>
        <w:spacing w:after="0" w:line="360" w:lineRule="auto"/>
        <w:jc w:val="both"/>
        <w:rPr>
          <w:rFonts w:cs="Times New Roman"/>
          <w:color w:val="FF0000"/>
          <w:sz w:val="24"/>
          <w:szCs w:val="24"/>
          <w:lang w:bidi="ne-NP"/>
        </w:rPr>
      </w:pPr>
      <w:r w:rsidRPr="00DC4DEE">
        <w:rPr>
          <w:rFonts w:cs="Times New Roman"/>
          <w:color w:val="FF0000"/>
          <w:sz w:val="24"/>
          <w:szCs w:val="24"/>
          <w:lang w:bidi="ne-NP"/>
        </w:rPr>
        <w:t xml:space="preserve">The study compared the bactericidal effectiveness of the WHO Formulation-1 hand sanitizer made by untrained hospital staff in non-sterile conditions, to that of commercially available </w:t>
      </w:r>
      <w:proofErr w:type="spellStart"/>
      <w:r w:rsidRPr="00DC4DEE">
        <w:rPr>
          <w:rFonts w:cs="Times New Roman"/>
          <w:color w:val="FF0000"/>
          <w:sz w:val="24"/>
          <w:szCs w:val="24"/>
          <w:lang w:bidi="ne-NP"/>
        </w:rPr>
        <w:t>Dettol</w:t>
      </w:r>
      <w:proofErr w:type="spellEnd"/>
      <w:r w:rsidRPr="00DC4DEE">
        <w:rPr>
          <w:rFonts w:cs="Times New Roman"/>
          <w:color w:val="FF0000"/>
          <w:sz w:val="24"/>
          <w:szCs w:val="24"/>
          <w:lang w:bidi="ne-NP"/>
        </w:rPr>
        <w:t>® hand sanitizer.</w:t>
      </w:r>
    </w:p>
    <w:p w:rsidR="00B13F02" w:rsidRPr="00DC4DEE" w:rsidRDefault="00B13F02" w:rsidP="00B13F02">
      <w:pPr>
        <w:tabs>
          <w:tab w:val="left" w:pos="3206"/>
        </w:tabs>
        <w:spacing w:after="0" w:line="360" w:lineRule="auto"/>
        <w:jc w:val="both"/>
        <w:rPr>
          <w:rFonts w:cs="MetaOffc-Norm"/>
          <w:b/>
          <w:bCs/>
          <w:color w:val="FF0000"/>
          <w:sz w:val="24"/>
          <w:szCs w:val="24"/>
          <w:lang w:bidi="ne-NP"/>
        </w:rPr>
      </w:pPr>
      <w:r w:rsidRPr="00DC4DEE">
        <w:rPr>
          <w:rFonts w:cs="MetaOffc-Norm"/>
          <w:b/>
          <w:bCs/>
          <w:color w:val="FF0000"/>
          <w:sz w:val="24"/>
          <w:szCs w:val="24"/>
          <w:lang w:bidi="ne-NP"/>
        </w:rPr>
        <w:t>Methods</w:t>
      </w:r>
    </w:p>
    <w:p w:rsidR="00B13F02" w:rsidRPr="00DC4DEE" w:rsidRDefault="00B13F02" w:rsidP="00B13F02">
      <w:pPr>
        <w:autoSpaceDE w:val="0"/>
        <w:autoSpaceDN w:val="0"/>
        <w:adjustRightInd w:val="0"/>
        <w:spacing w:after="0" w:line="360" w:lineRule="auto"/>
        <w:jc w:val="both"/>
        <w:rPr>
          <w:rFonts w:cs="Times New Roman"/>
          <w:color w:val="FF0000"/>
          <w:sz w:val="24"/>
          <w:szCs w:val="24"/>
          <w:lang w:bidi="ne-NP"/>
        </w:rPr>
      </w:pPr>
      <w:r w:rsidRPr="00DC4DEE">
        <w:rPr>
          <w:rFonts w:cs="Times New Roman"/>
          <w:color w:val="FF0000"/>
          <w:sz w:val="24"/>
          <w:szCs w:val="24"/>
          <w:lang w:bidi="ne-NP"/>
        </w:rPr>
        <w:t xml:space="preserve">A convenience sample of 39 hospital staff at International Friendship Children's Hospital (IFCH) in Kathmandu, with each hand tested separately (total n = 78). </w:t>
      </w:r>
      <w:r w:rsidRPr="00DC4DEE">
        <w:rPr>
          <w:rFonts w:cs="Arial"/>
          <w:color w:val="FF0000"/>
          <w:sz w:val="24"/>
          <w:szCs w:val="24"/>
          <w:lang w:val="en-CA"/>
        </w:rPr>
        <w:t xml:space="preserve">The study was run at the end of hospital shifts and subjects were instructed not to wash/sanitize their hands immediately prior to participation. </w:t>
      </w:r>
      <w:r w:rsidRPr="00DC4DEE">
        <w:rPr>
          <w:rFonts w:cs="Arial"/>
          <w:bCs/>
          <w:color w:val="FF0000"/>
          <w:sz w:val="24"/>
          <w:szCs w:val="24"/>
          <w:lang w:val="en-CA"/>
        </w:rPr>
        <w:t xml:space="preserve">Each </w:t>
      </w:r>
      <w:proofErr w:type="gramStart"/>
      <w:r w:rsidRPr="00DC4DEE">
        <w:rPr>
          <w:rFonts w:cs="Arial"/>
          <w:bCs/>
          <w:color w:val="FF0000"/>
          <w:sz w:val="24"/>
          <w:szCs w:val="24"/>
          <w:lang w:val="en-CA"/>
        </w:rPr>
        <w:t>subjects’</w:t>
      </w:r>
      <w:proofErr w:type="gramEnd"/>
      <w:r w:rsidRPr="00DC4DEE">
        <w:rPr>
          <w:rFonts w:cs="Arial"/>
          <w:bCs/>
          <w:color w:val="FF0000"/>
          <w:sz w:val="24"/>
          <w:szCs w:val="24"/>
          <w:lang w:val="en-CA"/>
        </w:rPr>
        <w:t xml:space="preserve"> right hand served as a control to their left hand </w:t>
      </w:r>
      <w:r w:rsidRPr="00DC4DEE">
        <w:rPr>
          <w:rFonts w:cs="Arial"/>
          <w:color w:val="FF0000"/>
          <w:sz w:val="24"/>
          <w:szCs w:val="24"/>
          <w:lang w:val="en-CA"/>
        </w:rPr>
        <w:t xml:space="preserve">with respect to palm area and concentration of bacteria. The CFU reduction count was calculated as the difference between the CFU count pre-sanitization and the CFU count post-sanitization. </w:t>
      </w:r>
      <w:proofErr w:type="spellStart"/>
      <w:r w:rsidRPr="00DC4DEE">
        <w:rPr>
          <w:rFonts w:cs="Arial"/>
          <w:color w:val="FF0000"/>
          <w:sz w:val="24"/>
          <w:szCs w:val="24"/>
          <w:lang w:val="en-CA"/>
        </w:rPr>
        <w:t>Wilcoxon</w:t>
      </w:r>
      <w:proofErr w:type="spellEnd"/>
      <w:r w:rsidRPr="00DC4DEE">
        <w:rPr>
          <w:rFonts w:cs="Arial"/>
          <w:color w:val="FF0000"/>
          <w:sz w:val="24"/>
          <w:szCs w:val="24"/>
          <w:lang w:val="en-CA"/>
        </w:rPr>
        <w:t xml:space="preserve"> signed-rank tests were used to compare median CFU reduction counts among hands sanitized with WHO-1 vs. </w:t>
      </w:r>
      <w:proofErr w:type="spellStart"/>
      <w:r w:rsidRPr="00DC4DEE">
        <w:rPr>
          <w:rFonts w:cs="Arial"/>
          <w:color w:val="FF0000"/>
          <w:sz w:val="24"/>
          <w:szCs w:val="24"/>
          <w:lang w:val="en-CA"/>
        </w:rPr>
        <w:t>Dettol</w:t>
      </w:r>
      <w:proofErr w:type="spellEnd"/>
      <w:r w:rsidRPr="00DC4DEE">
        <w:rPr>
          <w:rFonts w:cs="Arial"/>
          <w:color w:val="FF0000"/>
          <w:sz w:val="24"/>
          <w:szCs w:val="24"/>
          <w:lang w:val="en-CA"/>
        </w:rPr>
        <w:t>®.</w:t>
      </w:r>
    </w:p>
    <w:p w:rsidR="00B13F02" w:rsidRPr="00DC4DEE" w:rsidRDefault="00B13F02" w:rsidP="00B13F02">
      <w:pPr>
        <w:tabs>
          <w:tab w:val="left" w:pos="3206"/>
        </w:tabs>
        <w:spacing w:after="0" w:line="360" w:lineRule="auto"/>
        <w:jc w:val="both"/>
        <w:rPr>
          <w:rFonts w:cs="MetaOffc-Norm"/>
          <w:b/>
          <w:bCs/>
          <w:color w:val="FF0000"/>
          <w:sz w:val="24"/>
          <w:szCs w:val="24"/>
          <w:lang w:bidi="ne-NP"/>
        </w:rPr>
      </w:pPr>
      <w:r w:rsidRPr="00DC4DEE">
        <w:rPr>
          <w:rFonts w:cs="MetaOffc-Norm"/>
          <w:b/>
          <w:bCs/>
          <w:color w:val="FF0000"/>
          <w:sz w:val="24"/>
          <w:szCs w:val="24"/>
          <w:lang w:bidi="ne-NP"/>
        </w:rPr>
        <w:t>Results</w:t>
      </w:r>
    </w:p>
    <w:p w:rsidR="00B13F02" w:rsidRPr="00DC4DEE" w:rsidRDefault="00B13F02" w:rsidP="00B13F02">
      <w:pPr>
        <w:autoSpaceDE w:val="0"/>
        <w:autoSpaceDN w:val="0"/>
        <w:adjustRightInd w:val="0"/>
        <w:spacing w:after="0" w:line="360" w:lineRule="auto"/>
        <w:jc w:val="both"/>
        <w:rPr>
          <w:rFonts w:cs="Times New Roman"/>
          <w:color w:val="FF0000"/>
          <w:sz w:val="24"/>
          <w:szCs w:val="24"/>
          <w:lang w:bidi="ne-NP"/>
        </w:rPr>
      </w:pPr>
      <w:r w:rsidRPr="00DC4DEE">
        <w:rPr>
          <w:rFonts w:cs="Times New Roman"/>
          <w:color w:val="FF0000"/>
          <w:sz w:val="24"/>
          <w:szCs w:val="24"/>
          <w:lang w:bidi="ne-NP"/>
        </w:rPr>
        <w:t xml:space="preserve">No differences exist in the bactericidal properties of WHO-1 versus </w:t>
      </w:r>
      <w:proofErr w:type="spellStart"/>
      <w:r w:rsidRPr="00DC4DEE">
        <w:rPr>
          <w:rFonts w:cs="Times New Roman"/>
          <w:color w:val="FF0000"/>
          <w:sz w:val="24"/>
          <w:szCs w:val="24"/>
          <w:lang w:bidi="ne-NP"/>
        </w:rPr>
        <w:t>Dettol</w:t>
      </w:r>
      <w:proofErr w:type="spellEnd"/>
      <w:r w:rsidRPr="00DC4DEE">
        <w:rPr>
          <w:rFonts w:cs="Times New Roman"/>
          <w:color w:val="FF0000"/>
          <w:sz w:val="24"/>
          <w:szCs w:val="24"/>
          <w:lang w:bidi="ne-NP"/>
        </w:rPr>
        <w:t xml:space="preserve">®. The WHO Formulation-1 hand sanitizer produced at IFCH in Kathmandu using a modified protocol had comparable bactericidal properties to commercially produced </w:t>
      </w:r>
      <w:proofErr w:type="spellStart"/>
      <w:r w:rsidRPr="00DC4DEE">
        <w:rPr>
          <w:rFonts w:cs="Times New Roman"/>
          <w:color w:val="FF0000"/>
          <w:sz w:val="24"/>
          <w:szCs w:val="24"/>
          <w:lang w:bidi="ne-NP"/>
        </w:rPr>
        <w:t>Dettol</w:t>
      </w:r>
      <w:proofErr w:type="spellEnd"/>
      <w:r w:rsidRPr="00DC4DEE">
        <w:rPr>
          <w:rFonts w:cs="Times New Roman"/>
          <w:color w:val="FF0000"/>
          <w:sz w:val="24"/>
          <w:szCs w:val="24"/>
          <w:lang w:bidi="ne-NP"/>
        </w:rPr>
        <w:t>®.</w:t>
      </w:r>
    </w:p>
    <w:p w:rsidR="00B13F02" w:rsidRPr="00DC4DEE" w:rsidRDefault="00B13F02" w:rsidP="00B13F02">
      <w:pPr>
        <w:tabs>
          <w:tab w:val="left" w:pos="3206"/>
        </w:tabs>
        <w:spacing w:after="0" w:line="360" w:lineRule="auto"/>
        <w:jc w:val="both"/>
        <w:rPr>
          <w:rFonts w:cs="MetaOffc-Norm"/>
          <w:b/>
          <w:bCs/>
          <w:color w:val="FF0000"/>
          <w:sz w:val="24"/>
          <w:szCs w:val="24"/>
          <w:lang w:bidi="ne-NP"/>
        </w:rPr>
      </w:pPr>
      <w:r w:rsidRPr="00DC4DEE">
        <w:rPr>
          <w:rFonts w:cs="MetaOffc-Norm"/>
          <w:b/>
          <w:bCs/>
          <w:color w:val="FF0000"/>
          <w:sz w:val="24"/>
          <w:szCs w:val="24"/>
          <w:lang w:bidi="ne-NP"/>
        </w:rPr>
        <w:t>Conclusions</w:t>
      </w:r>
    </w:p>
    <w:p w:rsidR="00B13F02" w:rsidRPr="00DC4DEE" w:rsidRDefault="00B13F02" w:rsidP="00B13F02">
      <w:pPr>
        <w:autoSpaceDE w:val="0"/>
        <w:autoSpaceDN w:val="0"/>
        <w:adjustRightInd w:val="0"/>
        <w:spacing w:after="0" w:line="360" w:lineRule="auto"/>
        <w:jc w:val="both"/>
        <w:rPr>
          <w:rFonts w:cs="Times New Roman"/>
          <w:color w:val="FF0000"/>
          <w:sz w:val="24"/>
          <w:szCs w:val="24"/>
          <w:lang w:bidi="ne-NP"/>
        </w:rPr>
      </w:pPr>
      <w:r w:rsidRPr="00DC4DEE">
        <w:rPr>
          <w:rFonts w:cs="Times New Roman"/>
          <w:color w:val="FF0000"/>
          <w:sz w:val="24"/>
          <w:szCs w:val="24"/>
          <w:lang w:bidi="ne-NP"/>
        </w:rPr>
        <w:t>The modifications to the WHO protocol examined in this study can be applied to produce inexpensive and effective hand sanitizer in other global health settings with similar material and human resource constraints.</w:t>
      </w:r>
    </w:p>
    <w:p w:rsidR="00B13F02" w:rsidRPr="00DC4DEE" w:rsidRDefault="00B13F02" w:rsidP="00B13F02">
      <w:pPr>
        <w:tabs>
          <w:tab w:val="left" w:pos="3206"/>
        </w:tabs>
        <w:spacing w:line="360" w:lineRule="auto"/>
        <w:jc w:val="both"/>
        <w:rPr>
          <w:rFonts w:cs="MetaOffc-Norm"/>
          <w:color w:val="FF0000"/>
          <w:sz w:val="24"/>
          <w:szCs w:val="24"/>
          <w:lang w:bidi="ne-NP"/>
        </w:rPr>
      </w:pPr>
      <w:r w:rsidRPr="00DC4DEE">
        <w:rPr>
          <w:rFonts w:cs="MetaOffc-Norm"/>
          <w:b/>
          <w:bCs/>
          <w:color w:val="FF0000"/>
          <w:sz w:val="24"/>
          <w:szCs w:val="24"/>
          <w:lang w:bidi="ne-NP"/>
        </w:rPr>
        <w:lastRenderedPageBreak/>
        <w:t>Keywords:</w:t>
      </w:r>
      <w:r w:rsidRPr="00DC4DEE">
        <w:rPr>
          <w:rFonts w:cs="MetaOffc-Norm"/>
          <w:color w:val="FF0000"/>
          <w:sz w:val="24"/>
          <w:szCs w:val="24"/>
          <w:lang w:bidi="ne-NP"/>
        </w:rPr>
        <w:t xml:space="preserve"> bacterial effectiveness; bacterial properties; </w:t>
      </w:r>
      <w:proofErr w:type="spellStart"/>
      <w:r w:rsidRPr="00DC4DEE">
        <w:rPr>
          <w:rFonts w:cs="Arial"/>
          <w:bCs/>
          <w:color w:val="FF0000"/>
          <w:sz w:val="24"/>
          <w:szCs w:val="24"/>
          <w:lang w:val="en-CA"/>
        </w:rPr>
        <w:t>Dettol</w:t>
      </w:r>
      <w:proofErr w:type="spellEnd"/>
      <w:r w:rsidRPr="00DC4DEE">
        <w:rPr>
          <w:rFonts w:cs="Arial"/>
          <w:bCs/>
          <w:color w:val="FF0000"/>
          <w:sz w:val="24"/>
          <w:szCs w:val="24"/>
          <w:lang w:val="en-CA"/>
        </w:rPr>
        <w:t xml:space="preserve">®; </w:t>
      </w:r>
      <w:r w:rsidRPr="00DC4DEE">
        <w:rPr>
          <w:rFonts w:cs="MetaOffc-Norm"/>
          <w:color w:val="FF0000"/>
          <w:sz w:val="24"/>
          <w:szCs w:val="24"/>
          <w:lang w:bidi="ne-NP"/>
        </w:rPr>
        <w:t>hand sanitizer; hospital staff; WHO protocol.</w:t>
      </w:r>
    </w:p>
    <w:p w:rsidR="00EA0C53" w:rsidRDefault="00EA0C53"/>
    <w:sectPr w:rsidR="00EA0C53" w:rsidSect="00EA0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taOffc-Nor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3F02"/>
    <w:rsid w:val="00B13F02"/>
    <w:rsid w:val="00EA0C5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F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2016-11-09T10:11:00Z</dcterms:created>
  <dcterms:modified xsi:type="dcterms:W3CDTF">2016-11-09T10:11:00Z</dcterms:modified>
</cp:coreProperties>
</file>